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50" w:rsidRPr="00327D50" w:rsidRDefault="00327D50" w:rsidP="00327D50">
      <w:pPr>
        <w:jc w:val="both"/>
        <w:rPr>
          <w:rFonts w:ascii="Arial" w:hAnsi="Arial" w:cs="Arial"/>
          <w:b/>
          <w:sz w:val="24"/>
          <w:szCs w:val="24"/>
        </w:rPr>
      </w:pPr>
      <w:r w:rsidRPr="00327D50">
        <w:rPr>
          <w:rFonts w:ascii="Arial" w:hAnsi="Arial" w:cs="Arial"/>
          <w:b/>
          <w:sz w:val="24"/>
          <w:szCs w:val="24"/>
        </w:rPr>
        <w:t>Conde da Barca, Antônio de Araújo e Azevedo</w:t>
      </w:r>
    </w:p>
    <w:p w:rsidR="00327D50" w:rsidRDefault="00327D50" w:rsidP="00327D50">
      <w:pPr>
        <w:jc w:val="both"/>
        <w:rPr>
          <w:rFonts w:ascii="Arial" w:hAnsi="Arial" w:cs="Arial"/>
          <w:sz w:val="24"/>
          <w:szCs w:val="24"/>
        </w:rPr>
      </w:pPr>
    </w:p>
    <w:p w:rsidR="00327D50" w:rsidRPr="00327D50" w:rsidRDefault="00327D50" w:rsidP="00327D50">
      <w:pPr>
        <w:jc w:val="both"/>
        <w:rPr>
          <w:rFonts w:ascii="Arial" w:hAnsi="Arial" w:cs="Arial"/>
          <w:sz w:val="24"/>
          <w:szCs w:val="24"/>
        </w:rPr>
      </w:pPr>
      <w:r w:rsidRPr="00327D50">
        <w:rPr>
          <w:rFonts w:ascii="Arial" w:hAnsi="Arial" w:cs="Arial"/>
          <w:sz w:val="24"/>
          <w:szCs w:val="24"/>
        </w:rPr>
        <w:t>Diplomata e ministro, nasceu em Portugal. Em 1779, envolveu-se na criação da Sociedade Econômica dos Amigos do Bem Público, que foi acolhida sob o patrocínio da Academia Real das Ciências de Lisboa, da qual tornou-se sócio. Mais tarde, ingressou na carreira diplomática, tendo atuado em Haia e na República Francesa, tendo sido, nesta última, ministro plenipotenciário encarregado das difíceis negociações de paz do governo português com o Diretório. Encerrou sua carreira diplomática em São Petersburgo, de 1801 a 1804, quando foi escolhido para a pasta de Ministro e Secretário de Estado dos Negócios Estrangeiros e da Guerra, após a renúncia de Rodrigo de Souza Coutinho.</w:t>
      </w:r>
    </w:p>
    <w:p w:rsidR="00327D50" w:rsidRPr="00327D50" w:rsidRDefault="00327D50" w:rsidP="00327D50">
      <w:pPr>
        <w:jc w:val="both"/>
        <w:rPr>
          <w:rFonts w:ascii="Arial" w:hAnsi="Arial" w:cs="Arial"/>
          <w:sz w:val="24"/>
          <w:szCs w:val="24"/>
        </w:rPr>
      </w:pPr>
      <w:r w:rsidRPr="00327D50">
        <w:rPr>
          <w:rFonts w:ascii="Arial" w:hAnsi="Arial" w:cs="Arial"/>
          <w:sz w:val="24"/>
          <w:szCs w:val="24"/>
        </w:rPr>
        <w:t>Como adepto do chamado “partido francês” procurou conduzir a política externa portuguesa na direção de uma a</w:t>
      </w:r>
      <w:bookmarkStart w:id="0" w:name="_GoBack"/>
      <w:bookmarkEnd w:id="0"/>
      <w:r w:rsidRPr="00327D50">
        <w:rPr>
          <w:rFonts w:ascii="Arial" w:hAnsi="Arial" w:cs="Arial"/>
          <w:sz w:val="24"/>
          <w:szCs w:val="24"/>
        </w:rPr>
        <w:t>proximação com a França napoleônica, sob a permanente ameaça de uma invasão espanhola. Com o retorno da política anglófila, foi substituído no ministério por Rodrigo de Souza Coutinho, mantendo-se apenas como Conselheiro de Estado.</w:t>
      </w:r>
    </w:p>
    <w:p w:rsidR="00782A73" w:rsidRPr="00327D50" w:rsidRDefault="00327D50" w:rsidP="00327D50">
      <w:pPr>
        <w:jc w:val="both"/>
        <w:rPr>
          <w:rFonts w:ascii="Arial" w:hAnsi="Arial" w:cs="Arial"/>
          <w:sz w:val="24"/>
          <w:szCs w:val="24"/>
        </w:rPr>
      </w:pPr>
      <w:r w:rsidRPr="00327D50">
        <w:rPr>
          <w:rFonts w:ascii="Arial" w:hAnsi="Arial" w:cs="Arial"/>
          <w:sz w:val="24"/>
          <w:szCs w:val="24"/>
        </w:rPr>
        <w:t>Em 1814 retornou ao ministério, na pasta da Marinha e Domínios Ultramarinos, procurando novamente uma política de aproximação com a França, de modo a contrabalançar a excessiva dependência em relação à Inglaterra. Após um acordo inicial, tomou, então, a iniciativa de convidar e hospedar uma comitiva de artistas e artífices, que difundisse no Brasil os aspectos “louváveis ou desejáveis” da civilização francesa, com a criação de uma escola de artes úteis, o que ficou conhecido como Missão Artística Francesa.  De forma semelhante, ensaiou a cultura da vinha e quis propagar a cultura do chá com a vinda de chineses, além de ter instalado um laboratório de química com aparelhos adquiridos durante suas viagens.</w:t>
      </w:r>
    </w:p>
    <w:sectPr w:rsidR="00782A73" w:rsidRPr="00327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50"/>
    <w:rsid w:val="00327D50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5F13-AFB2-4056-800D-FC33ED85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2015-06-25T18:16:00Z</dcterms:created>
  <dcterms:modified xsi:type="dcterms:W3CDTF">2015-06-25T18:20:00Z</dcterms:modified>
</cp:coreProperties>
</file>