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98" w:rsidRPr="00052498" w:rsidRDefault="00052498" w:rsidP="00052498">
      <w:pPr>
        <w:jc w:val="both"/>
        <w:rPr>
          <w:rFonts w:ascii="Arial" w:hAnsi="Arial" w:cs="Arial"/>
          <w:b/>
          <w:sz w:val="24"/>
          <w:szCs w:val="24"/>
        </w:rPr>
      </w:pPr>
      <w:r w:rsidRPr="00052498">
        <w:rPr>
          <w:rFonts w:ascii="Arial" w:hAnsi="Arial" w:cs="Arial"/>
          <w:b/>
          <w:sz w:val="24"/>
          <w:szCs w:val="24"/>
        </w:rPr>
        <w:t xml:space="preserve">Peter </w:t>
      </w:r>
      <w:proofErr w:type="spellStart"/>
      <w:r w:rsidRPr="00052498">
        <w:rPr>
          <w:rFonts w:ascii="Arial" w:hAnsi="Arial" w:cs="Arial"/>
          <w:b/>
          <w:sz w:val="24"/>
          <w:szCs w:val="24"/>
        </w:rPr>
        <w:t>Wilhem</w:t>
      </w:r>
      <w:proofErr w:type="spellEnd"/>
      <w:r w:rsidRPr="000524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2498">
        <w:rPr>
          <w:rFonts w:ascii="Arial" w:hAnsi="Arial" w:cs="Arial"/>
          <w:b/>
          <w:sz w:val="24"/>
          <w:szCs w:val="24"/>
        </w:rPr>
        <w:t>Lund</w:t>
      </w:r>
      <w:proofErr w:type="spellEnd"/>
      <w:r w:rsidRPr="00052498">
        <w:rPr>
          <w:rFonts w:ascii="Arial" w:hAnsi="Arial" w:cs="Arial"/>
          <w:b/>
          <w:sz w:val="24"/>
          <w:szCs w:val="24"/>
        </w:rPr>
        <w:t xml:space="preserve"> (1801-1880)</w:t>
      </w:r>
    </w:p>
    <w:p w:rsidR="00052498" w:rsidRPr="00052498" w:rsidRDefault="00052498" w:rsidP="00052498">
      <w:pPr>
        <w:jc w:val="both"/>
        <w:rPr>
          <w:rFonts w:ascii="Arial" w:hAnsi="Arial" w:cs="Arial"/>
          <w:sz w:val="24"/>
          <w:szCs w:val="24"/>
        </w:rPr>
      </w:pPr>
    </w:p>
    <w:p w:rsidR="00052498" w:rsidRPr="00052498" w:rsidRDefault="00052498" w:rsidP="00052498">
      <w:pPr>
        <w:jc w:val="both"/>
        <w:rPr>
          <w:rFonts w:ascii="Arial" w:hAnsi="Arial" w:cs="Arial"/>
          <w:sz w:val="24"/>
          <w:szCs w:val="24"/>
        </w:rPr>
      </w:pPr>
      <w:r w:rsidRPr="00052498">
        <w:rPr>
          <w:rFonts w:ascii="Arial" w:hAnsi="Arial" w:cs="Arial"/>
          <w:sz w:val="24"/>
          <w:szCs w:val="24"/>
        </w:rPr>
        <w:t xml:space="preserve">O dinamarquês Peter Wilhelm </w:t>
      </w:r>
      <w:proofErr w:type="spellStart"/>
      <w:r w:rsidRPr="00052498">
        <w:rPr>
          <w:rFonts w:ascii="Arial" w:hAnsi="Arial" w:cs="Arial"/>
          <w:sz w:val="24"/>
          <w:szCs w:val="24"/>
        </w:rPr>
        <w:t>Lund</w:t>
      </w:r>
      <w:proofErr w:type="spellEnd"/>
      <w:r w:rsidRPr="00052498">
        <w:rPr>
          <w:rFonts w:ascii="Arial" w:hAnsi="Arial" w:cs="Arial"/>
          <w:sz w:val="24"/>
          <w:szCs w:val="24"/>
        </w:rPr>
        <w:t>, nascido em Copenhagen, capital da Dinamarca em 14 de junho de 1801, era filho de ricos comerciantes. Diplomou-se em medicina pela Universidade de Copenhague em 1821, doutorando-se posteriormente pela Universidade de Kiel. Grande estudioso de botânica e zoologia, viajou em 1825 para o Brasil, onde percorreu os Estados do Rio de Janeiro e São Paulo. Nestas excursões, coletou grande quantidade de material que enviava, em parte, para o Museu de História Natural da Dinamarca.</w:t>
      </w:r>
    </w:p>
    <w:p w:rsidR="00052498" w:rsidRPr="00052498" w:rsidRDefault="00052498" w:rsidP="00052498">
      <w:pPr>
        <w:jc w:val="both"/>
        <w:rPr>
          <w:rFonts w:ascii="Arial" w:hAnsi="Arial" w:cs="Arial"/>
          <w:sz w:val="24"/>
          <w:szCs w:val="24"/>
        </w:rPr>
      </w:pPr>
      <w:r w:rsidRPr="00052498">
        <w:rPr>
          <w:rFonts w:ascii="Arial" w:hAnsi="Arial" w:cs="Arial"/>
          <w:sz w:val="24"/>
          <w:szCs w:val="24"/>
        </w:rPr>
        <w:t xml:space="preserve">Em 1829 retornou à Europa e visitou as universidades de Berlim, Dresden, Praga, Viena, Roma e o Museu de História Natural de Paris, onde conhece Georges </w:t>
      </w:r>
      <w:proofErr w:type="spellStart"/>
      <w:r w:rsidRPr="00052498">
        <w:rPr>
          <w:rFonts w:ascii="Arial" w:hAnsi="Arial" w:cs="Arial"/>
          <w:sz w:val="24"/>
          <w:szCs w:val="24"/>
        </w:rPr>
        <w:t>Cuvier</w:t>
      </w:r>
      <w:proofErr w:type="spellEnd"/>
      <w:r w:rsidRPr="00052498">
        <w:rPr>
          <w:rFonts w:ascii="Arial" w:hAnsi="Arial" w:cs="Arial"/>
          <w:sz w:val="24"/>
          <w:szCs w:val="24"/>
        </w:rPr>
        <w:t>, aquele que viria a ser o seu ídolo intelectual. Três anos depois, voltou definitivamente ao Brasil. Em s</w:t>
      </w:r>
      <w:bookmarkStart w:id="0" w:name="_GoBack"/>
      <w:bookmarkEnd w:id="0"/>
      <w:r w:rsidRPr="00052498">
        <w:rPr>
          <w:rFonts w:ascii="Arial" w:hAnsi="Arial" w:cs="Arial"/>
          <w:sz w:val="24"/>
          <w:szCs w:val="24"/>
        </w:rPr>
        <w:t>eu regresso, fez novas expedições e completou as anotações de Observações a respeito da vegetação dos campos no interior do Brasil, especialmente fito-históricas, de 1835.</w:t>
      </w:r>
    </w:p>
    <w:p w:rsidR="00052498" w:rsidRPr="00052498" w:rsidRDefault="00052498" w:rsidP="00052498">
      <w:pPr>
        <w:jc w:val="both"/>
        <w:rPr>
          <w:rFonts w:ascii="Arial" w:hAnsi="Arial" w:cs="Arial"/>
          <w:sz w:val="24"/>
          <w:szCs w:val="24"/>
        </w:rPr>
      </w:pPr>
      <w:r w:rsidRPr="00052498">
        <w:rPr>
          <w:rFonts w:ascii="Arial" w:hAnsi="Arial" w:cs="Arial"/>
          <w:sz w:val="24"/>
          <w:szCs w:val="24"/>
        </w:rPr>
        <w:t>Em Minas Gerais estudou alguns fósseis encontrados em Curvelo. Dedicou-se também às pesquisas arqueológicas. Estudou as montanhas da Serra do Espinhaço, recolheu material e remeteu-os para a Sociedade Real de Antiquários do Norte, em Copenhague, junto com um memorial sobre o assunto.</w:t>
      </w:r>
    </w:p>
    <w:p w:rsidR="00052498" w:rsidRPr="00052498" w:rsidRDefault="00052498" w:rsidP="00052498">
      <w:pPr>
        <w:jc w:val="both"/>
        <w:rPr>
          <w:rFonts w:ascii="Arial" w:hAnsi="Arial" w:cs="Arial"/>
          <w:sz w:val="24"/>
          <w:szCs w:val="24"/>
        </w:rPr>
      </w:pPr>
      <w:r w:rsidRPr="00052498">
        <w:rPr>
          <w:rFonts w:ascii="Arial" w:hAnsi="Arial" w:cs="Arial"/>
          <w:sz w:val="24"/>
          <w:szCs w:val="24"/>
        </w:rPr>
        <w:t xml:space="preserve">Em 1842, segundo um relato seu, já tinha explorado mais de duzentas cavernas na região e descrito 115 espécies de animais. Em 1843 encontrou na região vestígios de homens pré-históricos, cujos estudos definiram as características daquele que ficaria conhecido posteriormente como o Homem de Lagoa Santa. Esta cidade, aliás, foi adotada como base de operações por </w:t>
      </w:r>
      <w:proofErr w:type="spellStart"/>
      <w:r w:rsidRPr="00052498">
        <w:rPr>
          <w:rFonts w:ascii="Arial" w:hAnsi="Arial" w:cs="Arial"/>
          <w:sz w:val="24"/>
          <w:szCs w:val="24"/>
        </w:rPr>
        <w:t>Lund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por ser o centro de uma área repleta de cavernas.</w:t>
      </w:r>
    </w:p>
    <w:p w:rsidR="00052498" w:rsidRPr="00052498" w:rsidRDefault="00052498" w:rsidP="00052498">
      <w:pPr>
        <w:jc w:val="both"/>
        <w:rPr>
          <w:rFonts w:ascii="Arial" w:hAnsi="Arial" w:cs="Arial"/>
          <w:sz w:val="24"/>
          <w:szCs w:val="24"/>
        </w:rPr>
      </w:pPr>
      <w:r w:rsidRPr="00052498">
        <w:rPr>
          <w:rFonts w:ascii="Arial" w:hAnsi="Arial" w:cs="Arial"/>
          <w:sz w:val="24"/>
          <w:szCs w:val="24"/>
        </w:rPr>
        <w:t xml:space="preserve">Em 1845, alegando falta de recursos, </w:t>
      </w:r>
      <w:proofErr w:type="spellStart"/>
      <w:r w:rsidRPr="00052498">
        <w:rPr>
          <w:rFonts w:ascii="Arial" w:hAnsi="Arial" w:cs="Arial"/>
          <w:sz w:val="24"/>
          <w:szCs w:val="24"/>
        </w:rPr>
        <w:t>Lund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termina repentinamente o trabalho nas cavernas. Ele empacota e doa sua enorme coleção com 20 mil </w:t>
      </w:r>
      <w:proofErr w:type="spellStart"/>
      <w:r w:rsidRPr="00052498">
        <w:rPr>
          <w:rFonts w:ascii="Arial" w:hAnsi="Arial" w:cs="Arial"/>
          <w:sz w:val="24"/>
          <w:szCs w:val="24"/>
        </w:rPr>
        <w:t>ítens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para o rei e o povo da Dinamarca. Alegando uma saúde frágil, resolve não voltar </w:t>
      </w:r>
      <w:proofErr w:type="spellStart"/>
      <w:r w:rsidRPr="00052498">
        <w:rPr>
          <w:rFonts w:ascii="Arial" w:hAnsi="Arial" w:cs="Arial"/>
          <w:sz w:val="24"/>
          <w:szCs w:val="24"/>
        </w:rPr>
        <w:t>á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Europa, permanecendo em Lagoa Santa pelo resto da vida.</w:t>
      </w:r>
    </w:p>
    <w:p w:rsidR="00052498" w:rsidRPr="00052498" w:rsidRDefault="00052498" w:rsidP="00052498">
      <w:pPr>
        <w:jc w:val="both"/>
        <w:rPr>
          <w:rFonts w:ascii="Arial" w:hAnsi="Arial" w:cs="Arial"/>
          <w:sz w:val="24"/>
          <w:szCs w:val="24"/>
        </w:rPr>
      </w:pPr>
      <w:r w:rsidRPr="00052498">
        <w:rPr>
          <w:rFonts w:ascii="Arial" w:hAnsi="Arial" w:cs="Arial"/>
          <w:sz w:val="24"/>
          <w:szCs w:val="24"/>
        </w:rPr>
        <w:t xml:space="preserve">Ao longo destes anos, sua maior preocupação foi com a curadoria de sua coleção, a cargo do zoólogo </w:t>
      </w:r>
      <w:proofErr w:type="spellStart"/>
      <w:r w:rsidRPr="00052498">
        <w:rPr>
          <w:rFonts w:ascii="Arial" w:hAnsi="Arial" w:cs="Arial"/>
          <w:sz w:val="24"/>
          <w:szCs w:val="24"/>
        </w:rPr>
        <w:t>Johannes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Theodor </w:t>
      </w:r>
      <w:proofErr w:type="spellStart"/>
      <w:r w:rsidRPr="00052498">
        <w:rPr>
          <w:rFonts w:ascii="Arial" w:hAnsi="Arial" w:cs="Arial"/>
          <w:sz w:val="24"/>
          <w:szCs w:val="24"/>
        </w:rPr>
        <w:t>Reinhardt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(1816–1882). Ele também recebeu a visita de jovens naturalistas europeus, com destaque para o botânico </w:t>
      </w:r>
      <w:proofErr w:type="spellStart"/>
      <w:r w:rsidRPr="00052498">
        <w:rPr>
          <w:rFonts w:ascii="Arial" w:hAnsi="Arial" w:cs="Arial"/>
          <w:sz w:val="24"/>
          <w:szCs w:val="24"/>
        </w:rPr>
        <w:t>Eugenius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498">
        <w:rPr>
          <w:rFonts w:ascii="Arial" w:hAnsi="Arial" w:cs="Arial"/>
          <w:sz w:val="24"/>
          <w:szCs w:val="24"/>
        </w:rPr>
        <w:t>Warming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(1841 - 1924). O estudo completo de sua coleção, E </w:t>
      </w:r>
      <w:proofErr w:type="spellStart"/>
      <w:r w:rsidRPr="00052498">
        <w:rPr>
          <w:rFonts w:ascii="Arial" w:hAnsi="Arial" w:cs="Arial"/>
          <w:sz w:val="24"/>
          <w:szCs w:val="24"/>
        </w:rPr>
        <w:t>Museo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2498">
        <w:rPr>
          <w:rFonts w:ascii="Arial" w:hAnsi="Arial" w:cs="Arial"/>
          <w:sz w:val="24"/>
          <w:szCs w:val="24"/>
        </w:rPr>
        <w:t>Lundii</w:t>
      </w:r>
      <w:proofErr w:type="spellEnd"/>
      <w:r w:rsidRPr="00052498">
        <w:rPr>
          <w:rFonts w:ascii="Arial" w:hAnsi="Arial" w:cs="Arial"/>
          <w:sz w:val="24"/>
          <w:szCs w:val="24"/>
        </w:rPr>
        <w:t>, só seria publicado pelos curadores desta na Dinamarca, em 1888.</w:t>
      </w:r>
    </w:p>
    <w:p w:rsidR="00052498" w:rsidRPr="00052498" w:rsidRDefault="00052498" w:rsidP="00052498">
      <w:pPr>
        <w:jc w:val="both"/>
        <w:rPr>
          <w:rFonts w:ascii="Arial" w:hAnsi="Arial" w:cs="Arial"/>
          <w:sz w:val="24"/>
          <w:szCs w:val="24"/>
        </w:rPr>
      </w:pPr>
      <w:r w:rsidRPr="00052498">
        <w:rPr>
          <w:rFonts w:ascii="Arial" w:hAnsi="Arial" w:cs="Arial"/>
          <w:sz w:val="24"/>
          <w:szCs w:val="24"/>
        </w:rPr>
        <w:t xml:space="preserve">Entre seus trabalhos, </w:t>
      </w:r>
      <w:proofErr w:type="spellStart"/>
      <w:r w:rsidRPr="00052498">
        <w:rPr>
          <w:rFonts w:ascii="Arial" w:hAnsi="Arial" w:cs="Arial"/>
          <w:sz w:val="24"/>
          <w:szCs w:val="24"/>
        </w:rPr>
        <w:t>Lund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escreveu a história do Pleistoceno brasileiro. Entre sua vasta obra, pode-se destacar: Vista da fauna do Brasil anterior à última revolução geológica; Cavernas </w:t>
      </w:r>
      <w:proofErr w:type="spellStart"/>
      <w:r w:rsidRPr="00052498">
        <w:rPr>
          <w:rFonts w:ascii="Arial" w:hAnsi="Arial" w:cs="Arial"/>
          <w:sz w:val="24"/>
          <w:szCs w:val="24"/>
        </w:rPr>
        <w:t>calcáreas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existentes no interior do Brasil, contendo algumas delas ossadas humanas; Relatório sobre vertebrados do Brasil; Sobre os animais </w:t>
      </w:r>
      <w:proofErr w:type="spellStart"/>
      <w:r w:rsidRPr="00052498">
        <w:rPr>
          <w:rFonts w:ascii="Arial" w:hAnsi="Arial" w:cs="Arial"/>
          <w:sz w:val="24"/>
          <w:szCs w:val="24"/>
        </w:rPr>
        <w:t>arbonizados</w:t>
      </w:r>
      <w:proofErr w:type="spellEnd"/>
      <w:r w:rsidRPr="00052498">
        <w:rPr>
          <w:rFonts w:ascii="Arial" w:hAnsi="Arial" w:cs="Arial"/>
          <w:sz w:val="24"/>
          <w:szCs w:val="24"/>
        </w:rPr>
        <w:t xml:space="preserve"> no Brasil na época geológica atual e anterior; Anotações sobre os últimos exames e descobertas em cavernas do Brasil.</w:t>
      </w:r>
    </w:p>
    <w:p w:rsidR="00052498" w:rsidRPr="00052498" w:rsidRDefault="00052498" w:rsidP="00052498">
      <w:pPr>
        <w:jc w:val="both"/>
        <w:rPr>
          <w:rFonts w:ascii="Arial" w:hAnsi="Arial" w:cs="Arial"/>
          <w:sz w:val="24"/>
          <w:szCs w:val="24"/>
        </w:rPr>
      </w:pPr>
      <w:r w:rsidRPr="00052498">
        <w:rPr>
          <w:rFonts w:ascii="Arial" w:hAnsi="Arial" w:cs="Arial"/>
          <w:sz w:val="24"/>
          <w:szCs w:val="24"/>
        </w:rPr>
        <w:lastRenderedPageBreak/>
        <w:t xml:space="preserve">Fonte: </w:t>
      </w:r>
      <w:hyperlink r:id="rId4" w:history="1">
        <w:r w:rsidRPr="00052498">
          <w:rPr>
            <w:rStyle w:val="Hyperlink"/>
            <w:rFonts w:ascii="Arial" w:hAnsi="Arial" w:cs="Arial"/>
            <w:sz w:val="24"/>
            <w:szCs w:val="24"/>
          </w:rPr>
          <w:t>http://www.lagoasanta.com.br/homem/peter.htm</w:t>
        </w:r>
      </w:hyperlink>
      <w:r w:rsidRPr="00052498">
        <w:rPr>
          <w:rFonts w:ascii="Arial" w:hAnsi="Arial" w:cs="Arial"/>
          <w:sz w:val="24"/>
          <w:szCs w:val="24"/>
        </w:rPr>
        <w:t xml:space="preserve"> </w:t>
      </w:r>
    </w:p>
    <w:p w:rsidR="00782A73" w:rsidRPr="00052498" w:rsidRDefault="00052498" w:rsidP="00052498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052498">
          <w:rPr>
            <w:rStyle w:val="Hyperlink"/>
            <w:rFonts w:ascii="Arial" w:hAnsi="Arial" w:cs="Arial"/>
            <w:sz w:val="24"/>
            <w:szCs w:val="24"/>
          </w:rPr>
          <w:t>http://pt.wikipedia.org/wiki/Peter_Wilhelm_Lund</w:t>
        </w:r>
      </w:hyperlink>
      <w:r w:rsidRPr="00052498">
        <w:rPr>
          <w:rFonts w:ascii="Arial" w:hAnsi="Arial" w:cs="Arial"/>
          <w:sz w:val="24"/>
          <w:szCs w:val="24"/>
        </w:rPr>
        <w:t xml:space="preserve"> </w:t>
      </w:r>
    </w:p>
    <w:sectPr w:rsidR="00782A73" w:rsidRPr="00052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8"/>
    <w:rsid w:val="00052498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28ACD-36D0-4B69-AB7B-003429AD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2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.wikipedia.org/wiki/Peter_Wilhelm_Lund" TargetMode="External"/><Relationship Id="rId4" Type="http://schemas.openxmlformats.org/officeDocument/2006/relationships/hyperlink" Target="http://www.lagoasanta.com.br/homem/peter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2015-06-24T20:03:00Z</dcterms:created>
  <dcterms:modified xsi:type="dcterms:W3CDTF">2015-06-24T20:03:00Z</dcterms:modified>
</cp:coreProperties>
</file>